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2530" w:firstLineChars="700"/>
        <w:jc w:val="both"/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“三公”经费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决算公开</w:t>
      </w:r>
      <w:bookmarkStart w:id="0" w:name="_GoBack"/>
      <w:bookmarkEnd w:id="0"/>
    </w:p>
    <w:p>
      <w:pPr>
        <w:snapToGrid w:val="0"/>
        <w:spacing w:line="52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本年度“三公”经费为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60.03万元，其中：公务用车购置及运行维护费57.60万（其中：公务用车购置费26.15万元，公务用车运行维护费31.45万元），公务接待费为2.43万元。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与去年相比增加了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19.75万元</w:t>
      </w:r>
      <w:r>
        <w:rPr>
          <w:rFonts w:hint="eastAsia" w:ascii="仿宋_GB2312" w:hAnsi="仿宋" w:eastAsia="仿宋_GB2312"/>
          <w:sz w:val="32"/>
          <w:szCs w:val="32"/>
        </w:rPr>
        <w:t>，人均支出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0.87万元。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三公经费明细表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（单位：元）</w:t>
      </w:r>
    </w:p>
    <w:tbl>
      <w:tblPr>
        <w:tblW w:w="734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8"/>
        <w:gridCol w:w="864"/>
        <w:gridCol w:w="18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栏  次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一、“三公”经费支出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（一）支出合计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600,267.96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1．因公出国（境）费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2．公务用车购置及运行维护费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576,000.76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（1）公务用车购置费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（2）公务用车运行维护费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314,500.76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3．公务接待费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24,267.20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（1）国内接待费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24,267.20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其中：外事接待费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（2）国（境）外接待费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（二）相关统计数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1．因公出国（境）团组数（个）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2．因公出国（境）人次数（人）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3．公务用车购置数（辆）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4．公务用车保有量（辆）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5．国内公务接待批次（个）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其中：外事接待批次（个）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6．国内公务接待人次（人）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其中：外事接待人次（人）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7．国（境）外公务接待批次（个）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8．国（境）外公务接待人次（人）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461D"/>
    <w:rsid w:val="08586211"/>
    <w:rsid w:val="7C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2020-06-16T03:36:00Z</dcterms:created>
  <dc:creator>dyatghaosk</dc:creator>
  <cp:lastModifiedBy>dyatghaosk</cp:lastModifiedBy>
  <dcterms:modified xsi:type="dcterms:W3CDTF">2020-06-16T03:43:16Z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